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56" w:rsidRDefault="00BA4756" w:rsidP="00BA4756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BA4756" w:rsidRDefault="00BA4756" w:rsidP="00BA4756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296</w:t>
      </w:r>
    </w:p>
    <w:p w:rsidR="00BA4756" w:rsidRDefault="00BA4756" w:rsidP="00BA4756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620135,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Екатеринбург, ул. Красных командиров, 14, </w:t>
      </w:r>
    </w:p>
    <w:p w:rsidR="00BA4756" w:rsidRDefault="00BA4756" w:rsidP="00BA4756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Тел.: 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>
        <w:rPr>
          <w:b/>
          <w:sz w:val="28"/>
          <w:szCs w:val="28"/>
        </w:rPr>
        <w:t>296@.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BA4756" w:rsidRDefault="00BA4756" w:rsidP="00BA4756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BA4756" w:rsidRDefault="00BA4756" w:rsidP="00BA4756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BA4756" w:rsidRPr="00313399" w:rsidRDefault="00BA4756" w:rsidP="00BA4756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313399">
        <w:rPr>
          <w:rFonts w:ascii="Georgia" w:hAnsi="Georgia"/>
          <w:b/>
          <w:i/>
          <w:sz w:val="32"/>
          <w:szCs w:val="32"/>
        </w:rPr>
        <w:t>КОНСПЕКТ</w:t>
      </w:r>
    </w:p>
    <w:p w:rsidR="00BA4756" w:rsidRPr="00313399" w:rsidRDefault="00BA4756" w:rsidP="00BA4756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313399">
        <w:rPr>
          <w:rFonts w:ascii="Georgia" w:hAnsi="Georgia"/>
          <w:b/>
          <w:i/>
          <w:sz w:val="32"/>
          <w:szCs w:val="32"/>
        </w:rPr>
        <w:t>по мастер-классу для педагогов в ДОУ</w:t>
      </w:r>
    </w:p>
    <w:p w:rsidR="00BA4756" w:rsidRPr="00313399" w:rsidRDefault="00BA4756" w:rsidP="00BA4756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313399">
        <w:rPr>
          <w:rFonts w:ascii="Georgia" w:hAnsi="Georgia"/>
          <w:b/>
          <w:i/>
          <w:sz w:val="32"/>
          <w:szCs w:val="32"/>
        </w:rPr>
        <w:t>на тему:</w:t>
      </w:r>
    </w:p>
    <w:p w:rsidR="00BA4756" w:rsidRPr="00313399" w:rsidRDefault="00BA4756" w:rsidP="00BA4756">
      <w:pPr>
        <w:shd w:val="clear" w:color="auto" w:fill="FFFFFF"/>
        <w:tabs>
          <w:tab w:val="left" w:pos="3955"/>
        </w:tabs>
        <w:spacing w:line="276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BA4756" w:rsidRPr="00313399" w:rsidRDefault="00BA4756" w:rsidP="00BA4756">
      <w:pPr>
        <w:shd w:val="clear" w:color="auto" w:fill="FFFFFF"/>
        <w:tabs>
          <w:tab w:val="left" w:pos="3955"/>
        </w:tabs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313399">
        <w:rPr>
          <w:rFonts w:ascii="Georgia" w:hAnsi="Georgia"/>
          <w:b/>
          <w:i/>
          <w:sz w:val="32"/>
          <w:szCs w:val="32"/>
        </w:rPr>
        <w:t>«</w:t>
      </w:r>
      <w:r w:rsidRPr="00313399">
        <w:rPr>
          <w:rFonts w:ascii="Georgia" w:hAnsi="Georgia" w:cs="Times New Roman"/>
          <w:b/>
          <w:i/>
          <w:sz w:val="32"/>
          <w:szCs w:val="32"/>
        </w:rPr>
        <w:t>Подвижные игры в период адаптации детей младшего возраста</w:t>
      </w:r>
      <w:r w:rsidRPr="00313399">
        <w:rPr>
          <w:rFonts w:ascii="Georgia" w:hAnsi="Georgia"/>
          <w:b/>
          <w:i/>
          <w:sz w:val="32"/>
          <w:szCs w:val="32"/>
        </w:rPr>
        <w:t>»</w:t>
      </w:r>
    </w:p>
    <w:p w:rsidR="00BA4756" w:rsidRDefault="00BA4756" w:rsidP="00BA475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4756" w:rsidRDefault="00BA4756" w:rsidP="00BA4756">
      <w:pPr>
        <w:pStyle w:val="a5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>
        <w:t xml:space="preserve"> </w:t>
      </w:r>
      <w:r>
        <w:rPr>
          <w:sz w:val="28"/>
          <w:szCs w:val="28"/>
        </w:rPr>
        <w:t xml:space="preserve">Лоцманова Н.С., Воспитатель, </w:t>
      </w: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BA4756" w:rsidRDefault="00BA4756" w:rsidP="00BA4756">
      <w:pPr>
        <w:pStyle w:val="a5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2015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lastRenderedPageBreak/>
        <w:t>Вступая на первую ступеньку своего развития, малыш испытывает стресс. Очень сложно пережить расставание с родителями, освоить непривычную обстановку, влиться в коллектив незнакомых детей и взрослых. У ребёнка начинается другая жизнь с новыми правилами и отношениями.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Дети раннего возраста эмоционально заражаемы и впечатлительны, испытывают потребность в любви и поддержке. До ребёнка важно донести то, что он уже большой, потому что пришёл в детский сад, и это здорово! В детском саду его любят, ждут и рады всегда видеть. Он много чего уже умеет делать сам, а ещё большему научится с помощью взрослых. Ребенок дома играет в основном один.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– Чему может научить взрослый? Да. Главное, что может сделать взрослый, – это научить его играть вместе с другими детьми. Важно показать, что играть друг с другом, гораздо интереснее, чем одному. Кроме того, организуя совместную, согласованную игру детей, помогая им понять действия и желания другого, взрослый воспитывает потребность и способность к сотрудничеству. Даже самые маленькие дети испытывают интерес друг к другу – легко подражают движениям и действиям партнёра, заражают его эмоциями и настроениям.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Проведение имитационной игры.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Уважаемые коллеги, я порошу вас побыть в роли детей раннего дошкольного возраста.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Воспитатель предлагает поиграть в «поезд»: «Я – паровоз, а вы вагончики». Дети встают в колонну друг за другом, держась за одежду впереди стоящего. «Поехали», –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lastRenderedPageBreak/>
        <w:t>– Когда дети уже с удовольствием включались в игру, на  остановках мы встречаем разных  животных и имитируем их,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Миша по лесу гулял,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Миша деточек искал,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Долго, долго он искал,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Сел на травку задремал.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Стали деточки плясать,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Стали ножками стучать,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Мишка, Мишенька, вставай,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Наших деток догоняй. (Медведь просыпается и начинает догонять детей)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Потом садимся в поезд и отправляемся дальше в путь «Поехали»…</w:t>
      </w:r>
    </w:p>
    <w:p w:rsidR="008E4A2D" w:rsidRPr="0052725D" w:rsidRDefault="008E4A2D" w:rsidP="00AC0E65">
      <w:pPr>
        <w:tabs>
          <w:tab w:val="left" w:pos="40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«Стоп остановка Игровая»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Воспитатель выносит мешочек, а в мешочке мыльные пузыри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-Давайте мы с вами представим что мы мыльные пузыри.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Пузыри надуваются ( руки прямые вытянуты перед собой и в стороны ,вот какие большие пузыри надулись)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Из пузырей выходит воздух (присели),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Пузыри опять надуваются (встали),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И пузыри полетели по площадке (бег по кругу)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Пузыри сели (плавно присели).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А дальше ребята мы с вами садимся в поезд и отправляемся в детский сад. Приведенная игра одобряет робкого и развеселит плачущего, вновь пришедшего ребенка. А так же успокаивает слишком расшалившегося ребенка.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 xml:space="preserve">Малышей сделают друзьями игры, где дети действуют одновременно и одинаково, соблюдая простые и понятные для них правила. Это самый верный путь показать детям, что играть вместе весело и интересно. Здесь малыши удовлетворяют потребности в движении, в общении и в образном поэтическом слове. По сути игры просты и доступны детям раннего возраста. </w:t>
      </w:r>
      <w:r w:rsidRPr="0052725D">
        <w:rPr>
          <w:rFonts w:ascii="Times New Roman" w:hAnsi="Times New Roman" w:cs="Times New Roman"/>
          <w:sz w:val="28"/>
          <w:szCs w:val="28"/>
        </w:rPr>
        <w:lastRenderedPageBreak/>
        <w:t>Важно, чтобы ведущий мог организовать, увлечь, эмоционально заразить весельем вновь пришедших детей. Не беда, если не все дети сразу включаются в процесс, как показывает практика, очень скоро все занимаются с интересом без исключения.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Совместное моделирование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 xml:space="preserve">Уважаемые, коллеги! Перед вами лежит картотека подвижных игр для раннего возраста, я предлагаю вам, выбрать игры, которые можно проводить в период адаптации. </w:t>
      </w:r>
    </w:p>
    <w:p w:rsidR="008E4A2D" w:rsidRPr="0052725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8E4A2D" w:rsidRDefault="008E4A2D" w:rsidP="00AC0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5D">
        <w:rPr>
          <w:rFonts w:ascii="Times New Roman" w:hAnsi="Times New Roman" w:cs="Times New Roman"/>
          <w:sz w:val="28"/>
          <w:szCs w:val="28"/>
        </w:rPr>
        <w:t>Уважаемые коллеги! Прошу Вас выполнить рефлексию по методике «Эмоциональное письмо». Для этого выберите из предложенных вам эмоций картинку, соответствующую вашему настроению на нашем занятии. Благодарю за сотр</w:t>
      </w:r>
      <w:r>
        <w:rPr>
          <w:rFonts w:ascii="Times New Roman" w:hAnsi="Times New Roman" w:cs="Times New Roman"/>
          <w:sz w:val="28"/>
          <w:szCs w:val="28"/>
        </w:rPr>
        <w:t>удничество! Творческих успехов!</w:t>
      </w:r>
    </w:p>
    <w:p w:rsidR="00BA2DC1" w:rsidRDefault="00BA2DC1"/>
    <w:sectPr w:rsidR="00BA2DC1" w:rsidSect="00C2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83D"/>
    <w:rsid w:val="0022483D"/>
    <w:rsid w:val="00313399"/>
    <w:rsid w:val="0033419F"/>
    <w:rsid w:val="006F43A6"/>
    <w:rsid w:val="008E4A2D"/>
    <w:rsid w:val="00A05DC6"/>
    <w:rsid w:val="00AC0E65"/>
    <w:rsid w:val="00BA2DC1"/>
    <w:rsid w:val="00BA4756"/>
    <w:rsid w:val="00C2359E"/>
    <w:rsid w:val="00DA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19F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BA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BA4756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Настя</cp:lastModifiedBy>
  <cp:revision>7</cp:revision>
  <cp:lastPrinted>2016-11-02T09:55:00Z</cp:lastPrinted>
  <dcterms:created xsi:type="dcterms:W3CDTF">2015-04-20T10:26:00Z</dcterms:created>
  <dcterms:modified xsi:type="dcterms:W3CDTF">2017-11-26T06:47:00Z</dcterms:modified>
</cp:coreProperties>
</file>